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94" w:rsidRPr="003D2C94" w:rsidRDefault="003D2C94" w:rsidP="00F870FA">
      <w:pPr>
        <w:pStyle w:val="a3"/>
        <w:spacing w:before="0" w:beforeAutospacing="0" w:after="150" w:afterAutospacing="0" w:line="273" w:lineRule="atLeast"/>
        <w:rPr>
          <w:b/>
          <w:bCs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11683">
        <w:rPr>
          <w:b/>
          <w:color w:val="2E74B5" w:themeColor="accent1" w:themeShade="BF"/>
          <w:spacing w:val="10"/>
          <w:sz w:val="44"/>
          <w:szCs w:val="44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Осенний фестиваль фонтанов «Петергоф</w:t>
      </w:r>
    </w:p>
    <w:p w:rsidR="00F870FA" w:rsidRPr="003E2006" w:rsidRDefault="00F870FA" w:rsidP="003D2C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D2C94">
        <w:rPr>
          <w:rFonts w:ascii="Times New Roman" w:hAnsi="Times New Roman" w:cs="Times New Roman"/>
          <w:b/>
          <w:bCs/>
          <w:sz w:val="28"/>
          <w:szCs w:val="28"/>
        </w:rPr>
        <w:t>Даты:</w:t>
      </w:r>
      <w:r w:rsidRPr="003D2C94">
        <w:rPr>
          <w:rFonts w:ascii="Times New Roman" w:hAnsi="Times New Roman" w:cs="Times New Roman"/>
          <w:sz w:val="28"/>
          <w:szCs w:val="28"/>
        </w:rPr>
        <w:t> </w:t>
      </w:r>
      <w:r w:rsidRPr="003E2006">
        <w:rPr>
          <w:rFonts w:ascii="Times New Roman" w:hAnsi="Times New Roman" w:cs="Times New Roman"/>
          <w:b/>
          <w:sz w:val="28"/>
          <w:szCs w:val="28"/>
        </w:rPr>
        <w:t>20 сентября (суббота) и 21 сентября (воскресенье)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3"/>
      </w:tblGrid>
      <w:tr w:rsidR="00FD43EB" w:rsidRPr="00AE620D" w:rsidTr="009236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43EB" w:rsidRPr="005F17BD" w:rsidRDefault="00FD43EB" w:rsidP="006061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3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17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16:</w:t>
            </w:r>
            <w:r w:rsidR="003E20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6061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гостиницы проживания.</w:t>
            </w:r>
            <w:bookmarkStart w:id="0" w:name="_GoBack"/>
            <w:bookmarkEnd w:id="0"/>
          </w:p>
        </w:tc>
      </w:tr>
      <w:tr w:rsidR="00E01CDF" w:rsidRPr="00AE620D" w:rsidTr="009236D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01CDF" w:rsidRPr="00E01CDF" w:rsidRDefault="00E01CDF" w:rsidP="009236DD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E01C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Ориентировочное время возвращения в 22:30 к БЛИЖАЙШЕЙ СТАНЦИИ МЕТРО!!!</w:t>
            </w:r>
          </w:p>
        </w:tc>
      </w:tr>
    </w:tbl>
    <w:p w:rsidR="00FD43EB" w:rsidRPr="00BA0194" w:rsidRDefault="00BA0194" w:rsidP="00B1306D">
      <w:pPr>
        <w:pStyle w:val="a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A0194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Экскурсия в Петергоф начинается в черте города, где на исторической Петергофской дороге располагаются такие замечательные памятники истории и архитектуры как усадьбы Дашковой и Шереметьевых, монастырь Троице-Сергиева пустынь и засверкавший после реставрации Константиновский дворец. По прибытии в Петергоф, Вас ждёт удивительное и незабываемое шоу осеннего праздника фонтанов.</w:t>
      </w:r>
    </w:p>
    <w:p w:rsidR="002B1F31" w:rsidRPr="00B1306D" w:rsidRDefault="002B1F31" w:rsidP="00B1306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47746" w:rsidRPr="003D2C94" w:rsidRDefault="00547746" w:rsidP="00B1306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194">
        <w:rPr>
          <w:rFonts w:ascii="Times New Roman" w:hAnsi="Times New Roman" w:cs="Times New Roman"/>
          <w:color w:val="C00000"/>
          <w:shd w:val="clear" w:color="auto" w:fill="FFFFFF"/>
        </w:rPr>
        <w:t>Осенний фестиваль фонтанов «Петергоф. Возрождение» в год празднования 80-летия Победы в Великой Отечественной войне посвящен воссозданию Петергофа после оккупаци</w:t>
      </w:r>
      <w:r w:rsidRPr="00BA1A92">
        <w:rPr>
          <w:rFonts w:ascii="Times New Roman" w:hAnsi="Times New Roman" w:cs="Times New Roman"/>
          <w:shd w:val="clear" w:color="auto" w:fill="FFFFFF"/>
        </w:rPr>
        <w:t>и</w:t>
      </w:r>
      <w:r w:rsidRPr="003D2C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1A92" w:rsidRPr="00BA1A92" w:rsidRDefault="00BA1A92" w:rsidP="00B1306D">
      <w:pPr>
        <w:pStyle w:val="a4"/>
        <w:jc w:val="both"/>
        <w:rPr>
          <w:rFonts w:ascii="Times New Roman" w:hAnsi="Times New Roman" w:cs="Times New Roman"/>
          <w:b/>
          <w:i/>
          <w:color w:val="C00000"/>
        </w:rPr>
      </w:pPr>
      <w:r w:rsidRPr="00BA1A92">
        <w:rPr>
          <w:rFonts w:ascii="Times New Roman" w:hAnsi="Times New Roman" w:cs="Times New Roman"/>
          <w:color w:val="C00000"/>
          <w:shd w:val="clear" w:color="auto" w:fill="FFFFFF"/>
        </w:rPr>
        <w:t>Фестиваль в каждый из дней завершится традиционным мультимедийным спектаклем с фейерверком на Большом каскаде. В центре этого масштабного представления — судьба Петергофа: от вдохновенного замысла Петра I через разрушения, причиненные войной, к торжественному возрождению в символ вечной силы, мира и красоты. Спектакль станет финальной точкой фестиваля, которая объединит все локации в парке.</w:t>
      </w:r>
    </w:p>
    <w:p w:rsidR="00BA1A92" w:rsidRPr="00BA1A92" w:rsidRDefault="00BA1A92" w:rsidP="00BA0194">
      <w:pPr>
        <w:pStyle w:val="a4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BA0194" w:rsidRDefault="00BA0194" w:rsidP="00BA1A92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3D2C94">
        <w:rPr>
          <w:rFonts w:ascii="Times New Roman" w:hAnsi="Times New Roman" w:cs="Times New Roman"/>
          <w:b/>
          <w:i/>
          <w:color w:val="0070C0"/>
          <w:sz w:val="32"/>
          <w:szCs w:val="32"/>
        </w:rPr>
        <w:t>Финальный спектакль и фейерверк на Большом каскаде:</w:t>
      </w:r>
    </w:p>
    <w:p w:rsidR="00BA0194" w:rsidRPr="003D2C94" w:rsidRDefault="00BA0194" w:rsidP="00BA1A9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3D2C94">
        <w:rPr>
          <w:rFonts w:ascii="Times New Roman" w:hAnsi="Times New Roman" w:cs="Times New Roman"/>
          <w:b/>
          <w:i/>
          <w:color w:val="0070C0"/>
          <w:sz w:val="32"/>
          <w:szCs w:val="32"/>
        </w:rPr>
        <w:t>начало</w:t>
      </w:r>
      <w:proofErr w:type="gramEnd"/>
      <w:r w:rsidRPr="003D2C94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в 20:30, продолжительность 30 минут.</w:t>
      </w:r>
    </w:p>
    <w:p w:rsidR="003614A8" w:rsidRDefault="003614A8" w:rsidP="00053036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D2C94" w:rsidRPr="00053036" w:rsidRDefault="003614A8" w:rsidP="003614A8">
      <w:pPr>
        <w:pStyle w:val="a4"/>
        <w:jc w:val="both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B40E7F" wp14:editId="4E9CE132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552700" cy="170025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o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00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C94" w:rsidRPr="00053036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 xml:space="preserve">Фестиваль в каждый из дней </w:t>
      </w:r>
      <w:proofErr w:type="gramStart"/>
      <w:r w:rsidR="003D2C94" w:rsidRPr="00053036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>завершится</w:t>
      </w:r>
      <w:proofErr w:type="gramEnd"/>
      <w:r w:rsidR="003D2C94" w:rsidRPr="00053036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 xml:space="preserve"> традиционным мультимедийным спектаклем с фейерверком на Большом каскаде. В центре этого масштабного представления — судьба Петергофа: от вдохновенного замысла Петра I через разрушения, причиненные войной, и торжественное возрождение в символ вечной силы, мира и красоты. Спектакль станет финальной точкой фестиваля, которая объединит все локации в парке.</w:t>
      </w:r>
    </w:p>
    <w:p w:rsidR="003614A8" w:rsidRDefault="003614A8" w:rsidP="00AE620D">
      <w:pPr>
        <w:pStyle w:val="a4"/>
        <w:rPr>
          <w:sz w:val="36"/>
          <w:szCs w:val="36"/>
          <w:lang w:eastAsia="ru-RU"/>
        </w:rPr>
      </w:pPr>
    </w:p>
    <w:tbl>
      <w:tblPr>
        <w:tblW w:w="9064" w:type="dxa"/>
        <w:tblBorders>
          <w:top w:val="single" w:sz="6" w:space="0" w:color="FF6600"/>
          <w:left w:val="single" w:sz="6" w:space="0" w:color="FF6600"/>
          <w:bottom w:val="single" w:sz="6" w:space="0" w:color="FF6600"/>
          <w:right w:val="single" w:sz="6" w:space="0" w:color="FF66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90"/>
        <w:gridCol w:w="1429"/>
        <w:gridCol w:w="1617"/>
        <w:gridCol w:w="2732"/>
      </w:tblGrid>
      <w:tr w:rsidR="00B93B97" w:rsidRPr="00AE620D" w:rsidTr="00944A47">
        <w:tc>
          <w:tcPr>
            <w:tcW w:w="0" w:type="auto"/>
            <w:vMerge w:val="restart"/>
            <w:tcBorders>
              <w:top w:val="single" w:sz="6" w:space="0" w:color="FF6600"/>
            </w:tcBorders>
            <w:vAlign w:val="center"/>
            <w:hideMark/>
          </w:tcPr>
          <w:p w:rsidR="00B93B97" w:rsidRPr="00944A47" w:rsidRDefault="00B93B97" w:rsidP="00944A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944A47" w:rsidRDefault="00944A47" w:rsidP="00944A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Включает 10%</w:t>
            </w:r>
          </w:p>
          <w:p w:rsidR="00944A47" w:rsidRPr="00AE620D" w:rsidRDefault="00944A47" w:rsidP="00944A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Комиссии.</w:t>
            </w:r>
          </w:p>
        </w:tc>
        <w:tc>
          <w:tcPr>
            <w:tcW w:w="6087" w:type="dxa"/>
            <w:gridSpan w:val="4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  <w:hideMark/>
          </w:tcPr>
          <w:p w:rsidR="00B93B97" w:rsidRPr="00AE620D" w:rsidRDefault="00B93B97" w:rsidP="00B93B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Граждане РФ</w:t>
            </w:r>
          </w:p>
        </w:tc>
      </w:tr>
      <w:tr w:rsidR="00B93B97" w:rsidRPr="00AE620D" w:rsidTr="00944A47">
        <w:tc>
          <w:tcPr>
            <w:tcW w:w="0" w:type="auto"/>
            <w:vMerge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B93B97" w:rsidRPr="00AE620D" w:rsidRDefault="00B93B97" w:rsidP="00AE62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6600"/>
              <w:left w:val="single" w:sz="6" w:space="0" w:color="FF6600"/>
              <w:bottom w:val="single" w:sz="6" w:space="0" w:color="C45911" w:themeColor="accent2" w:themeShade="BF"/>
              <w:right w:val="single" w:sz="6" w:space="0" w:color="FF660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B93B97" w:rsidRPr="00AE620D" w:rsidRDefault="00B93B97" w:rsidP="005363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6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 w:rsidRPr="00AE6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6600"/>
              <w:left w:val="single" w:sz="6" w:space="0" w:color="FF6600"/>
              <w:bottom w:val="single" w:sz="6" w:space="0" w:color="C45911" w:themeColor="accent2" w:themeShade="BF"/>
              <w:right w:val="single" w:sz="6" w:space="0" w:color="FF66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3B97" w:rsidRPr="00AE620D" w:rsidRDefault="00B93B97" w:rsidP="005363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Студ.</w:t>
            </w:r>
          </w:p>
        </w:tc>
        <w:tc>
          <w:tcPr>
            <w:tcW w:w="0" w:type="auto"/>
            <w:tcBorders>
              <w:top w:val="single" w:sz="6" w:space="0" w:color="FF6600"/>
              <w:left w:val="single" w:sz="6" w:space="0" w:color="FF6600"/>
              <w:bottom w:val="single" w:sz="6" w:space="0" w:color="C45911" w:themeColor="accent2" w:themeShade="BF"/>
              <w:right w:val="single" w:sz="6" w:space="0" w:color="FF66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3B97" w:rsidRPr="00AE620D" w:rsidRDefault="00B93B97" w:rsidP="005363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Школ.</w:t>
            </w:r>
          </w:p>
        </w:tc>
        <w:tc>
          <w:tcPr>
            <w:tcW w:w="2006" w:type="dxa"/>
            <w:tcBorders>
              <w:top w:val="single" w:sz="6" w:space="0" w:color="FF6600"/>
              <w:left w:val="single" w:sz="6" w:space="0" w:color="FF6600"/>
              <w:bottom w:val="single" w:sz="6" w:space="0" w:color="C45911" w:themeColor="accent2" w:themeShade="BF"/>
              <w:right w:val="single" w:sz="6" w:space="0" w:color="FF66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3B97" w:rsidRPr="00AE620D" w:rsidRDefault="00B93B97" w:rsidP="005363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5" w:anchor="lygota" w:history="1">
              <w:r w:rsidRPr="00AE620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Льг</w:t>
              </w:r>
              <w:r w:rsidR="00B0719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отный</w:t>
              </w:r>
              <w:r w:rsidRPr="00AE620D">
                <w:rPr>
                  <w:rFonts w:ascii="Times New Roman" w:hAnsi="Times New Roman" w:cs="Times New Roman"/>
                  <w:color w:val="FF6600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B93B97" w:rsidRPr="00AE620D" w:rsidTr="00944A47">
        <w:tc>
          <w:tcPr>
            <w:tcW w:w="0" w:type="auto"/>
            <w:vMerge/>
            <w:tcBorders>
              <w:bottom w:val="single" w:sz="6" w:space="0" w:color="FF6600"/>
              <w:right w:val="single" w:sz="6" w:space="0" w:color="C45911" w:themeColor="accent2" w:themeShade="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3B97" w:rsidRPr="00AE620D" w:rsidRDefault="00B93B97" w:rsidP="00AE62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3B97" w:rsidRPr="00AE620D" w:rsidRDefault="00BA1A92" w:rsidP="005363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5280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3B97" w:rsidRPr="00AE620D" w:rsidRDefault="00BA1A92" w:rsidP="005363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5125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3B97" w:rsidRPr="00AE620D" w:rsidRDefault="00BA1A92" w:rsidP="005363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2006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3B97" w:rsidRPr="00AE620D" w:rsidRDefault="00B93B97" w:rsidP="00BA1A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anchor="lygota" w:history="1">
              <w:r w:rsidR="00BA1A9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5125</w:t>
              </w:r>
              <w:r w:rsidRPr="00AE620D">
                <w:rPr>
                  <w:rFonts w:ascii="Times New Roman" w:hAnsi="Times New Roman" w:cs="Times New Roman"/>
                  <w:color w:val="FF6600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</w:tbl>
    <w:p w:rsidR="00AE620D" w:rsidRDefault="00AE620D" w:rsidP="00AE620D">
      <w:pPr>
        <w:pStyle w:val="a4"/>
      </w:pPr>
    </w:p>
    <w:p w:rsidR="00C96E4C" w:rsidRDefault="00C96E4C" w:rsidP="00AE620D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E4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Внимание:</w:t>
      </w:r>
      <w:r w:rsidRPr="00C96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Для подтверждения льготной, школьной категории, нужен ученический билет</w:t>
      </w:r>
    </w:p>
    <w:p w:rsidR="008B4A2B" w:rsidRDefault="008B4A2B" w:rsidP="00AE620D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4A2B" w:rsidRPr="00C96E4C" w:rsidRDefault="008B4A2B" w:rsidP="00AE62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19B">
        <w:rPr>
          <w:rFonts w:ascii="Tahoma" w:hAnsi="Tahoma" w:cs="Tahoma"/>
          <w:b/>
          <w:bCs/>
          <w:color w:val="C00000"/>
          <w:sz w:val="24"/>
          <w:szCs w:val="24"/>
          <w:shd w:val="clear" w:color="auto" w:fill="FFF4D6"/>
        </w:rPr>
        <w:t>*</w:t>
      </w:r>
      <w:r>
        <w:rPr>
          <w:rFonts w:ascii="Tahoma" w:hAnsi="Tahoma" w:cs="Tahoma"/>
          <w:b/>
          <w:bCs/>
          <w:color w:val="000000"/>
          <w:sz w:val="17"/>
          <w:szCs w:val="17"/>
          <w:shd w:val="clear" w:color="auto" w:fill="FFF4D6"/>
        </w:rPr>
        <w:t xml:space="preserve"> Под категорию "льготный" подпадают: пенсионеры, жители блокадного Ленинграда, участники Великой Отечественной войны, участники боевых действий, инвалиды 1/2 группы.</w:t>
      </w:r>
    </w:p>
    <w:sectPr w:rsidR="008B4A2B" w:rsidRPr="00C96E4C" w:rsidSect="008822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80"/>
    <w:rsid w:val="00053036"/>
    <w:rsid w:val="00293880"/>
    <w:rsid w:val="002B1F31"/>
    <w:rsid w:val="002D421F"/>
    <w:rsid w:val="003253DB"/>
    <w:rsid w:val="003614A8"/>
    <w:rsid w:val="003D2C94"/>
    <w:rsid w:val="003E2006"/>
    <w:rsid w:val="005363C3"/>
    <w:rsid w:val="00547746"/>
    <w:rsid w:val="005F17BD"/>
    <w:rsid w:val="00606119"/>
    <w:rsid w:val="006A6BBE"/>
    <w:rsid w:val="007A2E83"/>
    <w:rsid w:val="00882280"/>
    <w:rsid w:val="008B4A2B"/>
    <w:rsid w:val="00944A47"/>
    <w:rsid w:val="00AB7A5F"/>
    <w:rsid w:val="00AE620D"/>
    <w:rsid w:val="00B0719B"/>
    <w:rsid w:val="00B1306D"/>
    <w:rsid w:val="00B93B97"/>
    <w:rsid w:val="00BA0194"/>
    <w:rsid w:val="00BA1A92"/>
    <w:rsid w:val="00BD7E08"/>
    <w:rsid w:val="00C96E4C"/>
    <w:rsid w:val="00D9570C"/>
    <w:rsid w:val="00E01CDF"/>
    <w:rsid w:val="00E30570"/>
    <w:rsid w:val="00F11683"/>
    <w:rsid w:val="00F870FA"/>
    <w:rsid w:val="00FC3C5F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BE6C-1FB9-482B-9B81-DA1999E1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2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lectica-guide.ru/?mode=view&amp;select=00083&amp;cod=147308" TargetMode="External"/><Relationship Id="rId5" Type="http://schemas.openxmlformats.org/officeDocument/2006/relationships/hyperlink" Target="https://www.eclectica-guide.ru/?mode=view&amp;select=00083&amp;cod=14730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2025-08-30T10:55:00Z</dcterms:created>
  <dcterms:modified xsi:type="dcterms:W3CDTF">2025-09-02T11:06:00Z</dcterms:modified>
</cp:coreProperties>
</file>